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MINISTERIO DE FINANZAS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SUPERINTENDENCIA DE SEGUROS DE LA NACION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Resolución Nº   _____/2017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Ciudad de Buenos Aires, ___/___/2017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VISTO: lo dispuesto por la Resolución Nº 40.541 E del 14 de Junio de 2017 de la SUPERINTENDENCIA DE SEGUROS DE LA NACION, y la Resolución del ex MINISTERIO DE ECONOMIA Nº429 del 2 de junio de 2000, y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CONSIDERANDO:</w:t>
      </w:r>
      <w:bookmarkStart w:id="0" w:name="_GoBack"/>
      <w:bookmarkEnd w:id="0"/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Que, con el fin de favorecer la formalización de la economía, la transparencia y la disponibilidad de mayor información y datos respecto de sus actores, el ESTADO NACIONAL viene impulsando políticas concretas de inclusión financiera que permitan la participación de todos los sectores de la población.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 ello no obstante, de las consultas y reuniones efectuadas con la Federación de Asociaciones de Productores Asesores de Seguros de la Argentina (FAPASA), resulta que existen problemas de prestación de servicios financieros y deficiencias de infraestructura de comunicaciones,  en numerosas zonas del país, que conspiran contra el logro de los objetivos señalados en el considerando precedente.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 se advierte que las redes comerciales de las entidades aseguradoras, a través de la intermediación profesional, son el elemento más idóneo para complementar los sistemas de cobranza y suplir las deficiencias advertidas.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 se han recibido consultas de la citada Federación,  solicitando un mayor detalle de los medios de cobranza dictados por la Resolución Nº 40.541 E del 14 de Junio de 2017 de la SUPERINTENDENCIA DE SEGUROS DE LA NACIÓN y requiriendo que todos los canales de cobranza de primas estén en paridad de condiciones, en tanto se trata de atender una problemática común.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 la trazabilidad de las operaciones de cobranza por parte de los Productores Asesores de Seguros y Sociedad de Productores de Seguros, que surge de esta normativa,  torna innecesaria la existencia del  Registro de Cobranzas y Rendiciones, agregado por  reglamentación posterior de la Ley 22.400, que no lo establecía (art. 10º, inciso L).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Que en autos ha tomado conocimiento la Gerencia de Asuntos Jurídicos, 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 xml:space="preserve">Que la presente se dicta en uso de las facultades que confiere el art. 67 </w:t>
      </w:r>
      <w:proofErr w:type="gramStart"/>
      <w:r w:rsidRPr="004909D6">
        <w:rPr>
          <w:rFonts w:ascii="Arial" w:eastAsia="Times New Roman" w:hAnsi="Arial" w:cs="Arial"/>
          <w:lang w:eastAsia="es-AR"/>
        </w:rPr>
        <w:t>inciso</w:t>
      </w:r>
      <w:proofErr w:type="gramEnd"/>
      <w:r w:rsidRPr="004909D6">
        <w:rPr>
          <w:rFonts w:ascii="Arial" w:eastAsia="Times New Roman" w:hAnsi="Arial" w:cs="Arial"/>
          <w:lang w:eastAsia="es-AR"/>
        </w:rPr>
        <w:t xml:space="preserve"> b) de la ley 20.091.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Por ello,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EL SUPERINTENDENTE DE SEGUROS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RESUELVE: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1º— Atento lo establecido en el Artículo 1°,  inciso d) de la Resolución N° 429 de fecha 2 de junio de 2000, del ex MINISTERIO DE ECONOMÍA, la percepción de premios de contratos de seguros por parte de los Productores Asesores de Seguros, Sociedad de Productores de Seguros y Agentes Institorios, mediante la utilización de un controlador fiscal homologado por la ADMINISTRACIÓN FEDERAL DE INGRESOS PÚBLICOS y declarado ante la SUPERINTENDENCIA DE SEGUROS DE LA NACIÓN, podrá  incluir cobros en efectivo,  hasta la suma máxima establecida por la normativa tributaria (Ley  25.345).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2º’. Dejase sin efecto la obligatoriedad de llevar el Registro de Cobranzas y Rendiciones, establecido por la Resolución SSN N 24.828 articulo 10.2.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3º— Incorpórese en artículo 1º de  la Resolución 40.541 – E / 2017 el inciso “c) Entidades financieras no bancarias como medios de cobros habilitados para la percepción de cobranzas de premios.”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4º— Entiéndase que el artículo 1 inciso b) de  la Resolución 40.541 – E / 2017 incluye a como medios de cobros habilitados para la percepción de cobranzas de premios a los cheques de terceros endosados por el asegurado o tomador de la póliza.  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5º—Deróguese el artículo 6 de  la Resolución 40.541 – E / 2017.</w:t>
      </w:r>
    </w:p>
    <w:p w:rsidR="004909D6" w:rsidRPr="004909D6" w:rsidRDefault="004909D6" w:rsidP="004909D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 w:rsidRPr="004909D6">
        <w:rPr>
          <w:rFonts w:ascii="Arial" w:eastAsia="Times New Roman" w:hAnsi="Arial" w:cs="Arial"/>
          <w:lang w:eastAsia="es-AR"/>
        </w:rPr>
        <w:t>ARTICULO 6º—Regístrese y publíquese en el Boletín Oficial. — Dr. Juan Pazo, Superintendente de Seguros de la NACIÓN. </w:t>
      </w:r>
    </w:p>
    <w:p w:rsidR="00A30D7A" w:rsidRDefault="00A30D7A"/>
    <w:sectPr w:rsidR="00A30D7A" w:rsidSect="004909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909D6"/>
    <w:rsid w:val="000124E9"/>
    <w:rsid w:val="003C661B"/>
    <w:rsid w:val="004909D6"/>
    <w:rsid w:val="00A30D7A"/>
    <w:rsid w:val="00A412DC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cpu</cp:lastModifiedBy>
  <cp:revision>2</cp:revision>
  <cp:lastPrinted>2017-08-22T15:15:00Z</cp:lastPrinted>
  <dcterms:created xsi:type="dcterms:W3CDTF">2017-08-31T19:44:00Z</dcterms:created>
  <dcterms:modified xsi:type="dcterms:W3CDTF">2017-08-31T19:44:00Z</dcterms:modified>
</cp:coreProperties>
</file>