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b/>
          <w:bCs/>
          <w:color w:val="222222"/>
          <w:sz w:val="19"/>
          <w:szCs w:val="19"/>
          <w:lang w:eastAsia="es-AR"/>
        </w:rPr>
        <w:t>La Corte Suprema, por mayoría, declaró la validez del límite de cobertura establecido en el contrato de seguro obligatorio automotor</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 xml:space="preserve">La mayoría quedó conformada con el voto de los jueces Ricardo Lorenzetti, Elena </w:t>
      </w:r>
      <w:proofErr w:type="spellStart"/>
      <w:r w:rsidRPr="00EC29DE">
        <w:rPr>
          <w:rFonts w:ascii="Arial" w:eastAsia="Times New Roman" w:hAnsi="Arial" w:cs="Arial"/>
          <w:color w:val="222222"/>
          <w:sz w:val="19"/>
          <w:szCs w:val="19"/>
          <w:lang w:eastAsia="es-AR"/>
        </w:rPr>
        <w:t>Highton</w:t>
      </w:r>
      <w:proofErr w:type="spellEnd"/>
      <w:r w:rsidRPr="00EC29DE">
        <w:rPr>
          <w:rFonts w:ascii="Arial" w:eastAsia="Times New Roman" w:hAnsi="Arial" w:cs="Arial"/>
          <w:color w:val="222222"/>
          <w:sz w:val="19"/>
          <w:szCs w:val="19"/>
          <w:lang w:eastAsia="es-AR"/>
        </w:rPr>
        <w:t xml:space="preserve"> de Nolasco y Carlos </w:t>
      </w:r>
      <w:proofErr w:type="spellStart"/>
      <w:r w:rsidRPr="00EC29DE">
        <w:rPr>
          <w:rFonts w:ascii="Arial" w:eastAsia="Times New Roman" w:hAnsi="Arial" w:cs="Arial"/>
          <w:color w:val="222222"/>
          <w:sz w:val="19"/>
          <w:szCs w:val="19"/>
          <w:lang w:eastAsia="es-AR"/>
        </w:rPr>
        <w:t>Rosenkrantz</w:t>
      </w:r>
      <w:proofErr w:type="spellEnd"/>
      <w:r w:rsidRPr="00EC29DE">
        <w:rPr>
          <w:rFonts w:ascii="Arial" w:eastAsia="Times New Roman" w:hAnsi="Arial" w:cs="Arial"/>
          <w:color w:val="222222"/>
          <w:sz w:val="19"/>
          <w:szCs w:val="19"/>
          <w:lang w:eastAsia="es-AR"/>
        </w:rPr>
        <w:t xml:space="preserve">, este último en voto concurrente. Los jueces Juan Carlos </w:t>
      </w:r>
      <w:proofErr w:type="spellStart"/>
      <w:r w:rsidRPr="00EC29DE">
        <w:rPr>
          <w:rFonts w:ascii="Arial" w:eastAsia="Times New Roman" w:hAnsi="Arial" w:cs="Arial"/>
          <w:color w:val="222222"/>
          <w:sz w:val="19"/>
          <w:szCs w:val="19"/>
          <w:lang w:eastAsia="es-AR"/>
        </w:rPr>
        <w:t>Maqueda</w:t>
      </w:r>
      <w:proofErr w:type="spellEnd"/>
      <w:r w:rsidRPr="00EC29DE">
        <w:rPr>
          <w:rFonts w:ascii="Arial" w:eastAsia="Times New Roman" w:hAnsi="Arial" w:cs="Arial"/>
          <w:color w:val="222222"/>
          <w:sz w:val="19"/>
          <w:szCs w:val="19"/>
          <w:lang w:eastAsia="es-AR"/>
        </w:rPr>
        <w:t xml:space="preserve"> y Horacio </w:t>
      </w:r>
      <w:proofErr w:type="spellStart"/>
      <w:r w:rsidRPr="00EC29DE">
        <w:rPr>
          <w:rFonts w:ascii="Arial" w:eastAsia="Times New Roman" w:hAnsi="Arial" w:cs="Arial"/>
          <w:color w:val="222222"/>
          <w:sz w:val="19"/>
          <w:szCs w:val="19"/>
          <w:lang w:eastAsia="es-AR"/>
        </w:rPr>
        <w:t>Rosatti</w:t>
      </w:r>
      <w:proofErr w:type="spellEnd"/>
      <w:r w:rsidRPr="00EC29DE">
        <w:rPr>
          <w:rFonts w:ascii="Arial" w:eastAsia="Times New Roman" w:hAnsi="Arial" w:cs="Arial"/>
          <w:color w:val="222222"/>
          <w:sz w:val="19"/>
          <w:szCs w:val="19"/>
          <w:lang w:eastAsia="es-AR"/>
        </w:rPr>
        <w:t xml:space="preserve"> declararon inadmisible el recurso</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 xml:space="preserve">En el acuerdo de este martes, la Corte Suprema de Justicia de la Nación, por mayoría, dispuso que </w:t>
      </w:r>
      <w:proofErr w:type="gramStart"/>
      <w:r w:rsidRPr="00EC29DE">
        <w:rPr>
          <w:rFonts w:ascii="Arial" w:eastAsia="Times New Roman" w:hAnsi="Arial" w:cs="Arial"/>
          <w:color w:val="222222"/>
          <w:sz w:val="19"/>
          <w:szCs w:val="19"/>
          <w:lang w:eastAsia="es-AR"/>
        </w:rPr>
        <w:t>resulta</w:t>
      </w:r>
      <w:proofErr w:type="gramEnd"/>
      <w:r w:rsidRPr="00EC29DE">
        <w:rPr>
          <w:rFonts w:ascii="Arial" w:eastAsia="Times New Roman" w:hAnsi="Arial" w:cs="Arial"/>
          <w:color w:val="222222"/>
          <w:sz w:val="19"/>
          <w:szCs w:val="19"/>
          <w:lang w:eastAsia="es-AR"/>
        </w:rPr>
        <w:t xml:space="preserve"> oponible a los terceros el límite de la cobertura pactado entre aseguradora y asegurado en el contrato de seguro obligatorio automotor autorizado por la Superintendencia de Seguros de la Nación.</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 xml:space="preserve">Esta decisión fue adoptada en la causa “Flores, Lorena Romina c/ Giménez, Marcelino Osvaldo y </w:t>
      </w:r>
      <w:proofErr w:type="spellStart"/>
      <w:r w:rsidRPr="00EC29DE">
        <w:rPr>
          <w:rFonts w:ascii="Arial" w:eastAsia="Times New Roman" w:hAnsi="Arial" w:cs="Arial"/>
          <w:color w:val="222222"/>
          <w:sz w:val="19"/>
          <w:szCs w:val="19"/>
          <w:lang w:eastAsia="es-AR"/>
        </w:rPr>
        <w:t>otro s</w:t>
      </w:r>
      <w:proofErr w:type="spellEnd"/>
      <w:r w:rsidRPr="00EC29DE">
        <w:rPr>
          <w:rFonts w:ascii="Arial" w:eastAsia="Times New Roman" w:hAnsi="Arial" w:cs="Arial"/>
          <w:color w:val="222222"/>
          <w:sz w:val="19"/>
          <w:szCs w:val="19"/>
          <w:lang w:eastAsia="es-AR"/>
        </w:rPr>
        <w:t>/ daños y perjuicios (</w:t>
      </w:r>
      <w:proofErr w:type="spellStart"/>
      <w:r w:rsidRPr="00EC29DE">
        <w:rPr>
          <w:rFonts w:ascii="Arial" w:eastAsia="Times New Roman" w:hAnsi="Arial" w:cs="Arial"/>
          <w:color w:val="222222"/>
          <w:sz w:val="19"/>
          <w:szCs w:val="19"/>
          <w:lang w:eastAsia="es-AR"/>
        </w:rPr>
        <w:t>acc</w:t>
      </w:r>
      <w:proofErr w:type="spellEnd"/>
      <w:r w:rsidRPr="00EC29DE">
        <w:rPr>
          <w:rFonts w:ascii="Arial" w:eastAsia="Times New Roman" w:hAnsi="Arial" w:cs="Arial"/>
          <w:color w:val="222222"/>
          <w:sz w:val="19"/>
          <w:szCs w:val="19"/>
          <w:lang w:eastAsia="es-AR"/>
        </w:rPr>
        <w:t xml:space="preserve">. </w:t>
      </w:r>
      <w:proofErr w:type="spellStart"/>
      <w:proofErr w:type="gramStart"/>
      <w:r w:rsidRPr="00EC29DE">
        <w:rPr>
          <w:rFonts w:ascii="Arial" w:eastAsia="Times New Roman" w:hAnsi="Arial" w:cs="Arial"/>
          <w:color w:val="222222"/>
          <w:sz w:val="19"/>
          <w:szCs w:val="19"/>
          <w:lang w:eastAsia="es-AR"/>
        </w:rPr>
        <w:t>trán</w:t>
      </w:r>
      <w:proofErr w:type="spellEnd"/>
      <w:proofErr w:type="gramEnd"/>
      <w:r w:rsidRPr="00EC29DE">
        <w:rPr>
          <w:rFonts w:ascii="Arial" w:eastAsia="Times New Roman" w:hAnsi="Arial" w:cs="Arial"/>
          <w:color w:val="222222"/>
          <w:sz w:val="19"/>
          <w:szCs w:val="19"/>
          <w:lang w:eastAsia="es-AR"/>
        </w:rPr>
        <w:t xml:space="preserve">. c/ les. </w:t>
      </w:r>
      <w:proofErr w:type="gramStart"/>
      <w:r w:rsidRPr="00EC29DE">
        <w:rPr>
          <w:rFonts w:ascii="Arial" w:eastAsia="Times New Roman" w:hAnsi="Arial" w:cs="Arial"/>
          <w:color w:val="222222"/>
          <w:sz w:val="19"/>
          <w:szCs w:val="19"/>
          <w:lang w:eastAsia="es-AR"/>
        </w:rPr>
        <w:t>o</w:t>
      </w:r>
      <w:proofErr w:type="gramEnd"/>
      <w:r w:rsidRPr="00EC29DE">
        <w:rPr>
          <w:rFonts w:ascii="Arial" w:eastAsia="Times New Roman" w:hAnsi="Arial" w:cs="Arial"/>
          <w:color w:val="222222"/>
          <w:sz w:val="19"/>
          <w:szCs w:val="19"/>
          <w:lang w:eastAsia="es-AR"/>
        </w:rPr>
        <w:t xml:space="preserve"> muerte)”. La mayoría se conformó con el voto de los jueces Ricardo Lorenzetti y Elena </w:t>
      </w:r>
      <w:proofErr w:type="spellStart"/>
      <w:r w:rsidRPr="00EC29DE">
        <w:rPr>
          <w:rFonts w:ascii="Arial" w:eastAsia="Times New Roman" w:hAnsi="Arial" w:cs="Arial"/>
          <w:color w:val="222222"/>
          <w:sz w:val="19"/>
          <w:szCs w:val="19"/>
          <w:lang w:eastAsia="es-AR"/>
        </w:rPr>
        <w:t>Highton</w:t>
      </w:r>
      <w:proofErr w:type="spellEnd"/>
      <w:r w:rsidRPr="00EC29DE">
        <w:rPr>
          <w:rFonts w:ascii="Arial" w:eastAsia="Times New Roman" w:hAnsi="Arial" w:cs="Arial"/>
          <w:color w:val="222222"/>
          <w:sz w:val="19"/>
          <w:szCs w:val="19"/>
          <w:lang w:eastAsia="es-AR"/>
        </w:rPr>
        <w:t xml:space="preserve"> de Nolasco, y con el voto concurrente del juez Carlos </w:t>
      </w:r>
      <w:proofErr w:type="spellStart"/>
      <w:r w:rsidRPr="00EC29DE">
        <w:rPr>
          <w:rFonts w:ascii="Arial" w:eastAsia="Times New Roman" w:hAnsi="Arial" w:cs="Arial"/>
          <w:color w:val="222222"/>
          <w:sz w:val="19"/>
          <w:szCs w:val="19"/>
          <w:lang w:eastAsia="es-AR"/>
        </w:rPr>
        <w:t>Rosenkrantz</w:t>
      </w:r>
      <w:proofErr w:type="spellEnd"/>
      <w:r w:rsidRPr="00EC29DE">
        <w:rPr>
          <w:rFonts w:ascii="Arial" w:eastAsia="Times New Roman" w:hAnsi="Arial" w:cs="Arial"/>
          <w:color w:val="222222"/>
          <w:sz w:val="19"/>
          <w:szCs w:val="19"/>
          <w:lang w:eastAsia="es-AR"/>
        </w:rPr>
        <w:t>.</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 xml:space="preserve">En disidencia votaron los jueces Juan Carlos </w:t>
      </w:r>
      <w:proofErr w:type="spellStart"/>
      <w:r w:rsidRPr="00EC29DE">
        <w:rPr>
          <w:rFonts w:ascii="Arial" w:eastAsia="Times New Roman" w:hAnsi="Arial" w:cs="Arial"/>
          <w:color w:val="222222"/>
          <w:sz w:val="19"/>
          <w:szCs w:val="19"/>
          <w:lang w:eastAsia="es-AR"/>
        </w:rPr>
        <w:t>Maqueda</w:t>
      </w:r>
      <w:proofErr w:type="spellEnd"/>
      <w:r w:rsidRPr="00EC29DE">
        <w:rPr>
          <w:rFonts w:ascii="Arial" w:eastAsia="Times New Roman" w:hAnsi="Arial" w:cs="Arial"/>
          <w:color w:val="222222"/>
          <w:sz w:val="19"/>
          <w:szCs w:val="19"/>
          <w:lang w:eastAsia="es-AR"/>
        </w:rPr>
        <w:t xml:space="preserve"> y Horacio </w:t>
      </w:r>
      <w:proofErr w:type="spellStart"/>
      <w:r w:rsidRPr="00EC29DE">
        <w:rPr>
          <w:rFonts w:ascii="Arial" w:eastAsia="Times New Roman" w:hAnsi="Arial" w:cs="Arial"/>
          <w:color w:val="222222"/>
          <w:sz w:val="19"/>
          <w:szCs w:val="19"/>
          <w:lang w:eastAsia="es-AR"/>
        </w:rPr>
        <w:t>Rosatti</w:t>
      </w:r>
      <w:proofErr w:type="spellEnd"/>
      <w:r w:rsidRPr="00EC29DE">
        <w:rPr>
          <w:rFonts w:ascii="Arial" w:eastAsia="Times New Roman" w:hAnsi="Arial" w:cs="Arial"/>
          <w:color w:val="222222"/>
          <w:sz w:val="19"/>
          <w:szCs w:val="19"/>
          <w:lang w:eastAsia="es-AR"/>
        </w:rPr>
        <w:t>, quienes declararon inadmisible, con fundamento en el art. 280 del Código Procesal Civil y Comercial, el recurso extraordinario deducido por la aseguradora citada en garantía.</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 xml:space="preserve">Los jueces Lorenzetti y </w:t>
      </w:r>
      <w:proofErr w:type="spellStart"/>
      <w:r w:rsidRPr="00EC29DE">
        <w:rPr>
          <w:rFonts w:ascii="Arial" w:eastAsia="Times New Roman" w:hAnsi="Arial" w:cs="Arial"/>
          <w:color w:val="222222"/>
          <w:sz w:val="19"/>
          <w:szCs w:val="19"/>
          <w:lang w:eastAsia="es-AR"/>
        </w:rPr>
        <w:t>Highton</w:t>
      </w:r>
      <w:proofErr w:type="spellEnd"/>
      <w:r w:rsidRPr="00EC29DE">
        <w:rPr>
          <w:rFonts w:ascii="Arial" w:eastAsia="Times New Roman" w:hAnsi="Arial" w:cs="Arial"/>
          <w:color w:val="222222"/>
          <w:sz w:val="19"/>
          <w:szCs w:val="19"/>
          <w:lang w:eastAsia="es-AR"/>
        </w:rPr>
        <w:t xml:space="preserve"> de Nolasco destacaron que la función social que debe cumplir el seguro no implica que deban repararse todos los daños producidos al tercero -víctima- sin consideración de las pautas del contrato entre el asegurado y la aseguradora.</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En este sentido, señalaron que si bien el acceso a una reparación integral de los daños padecidos por las víctimas constituye un principio constitucional que debe ser tutelado y que esta Corte ha reforzado toda interpretación conducente a su plena satisfacción, ello no implica desconocer que el contrato de seguro rige la relación jurídica entre los otorgantes y que los damnificados revisten la condición de terceros frente a aquéllos en tanto no participaron de su realización, por lo que si pretenden invocarlo deben circunscribirse a sus términos.</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Asimismo, consideraron que los contratos tienen efectos entre las partes contratantes y no pueden beneficiar ni perjudicar a terceros, excepto en los casos previstos en la ley. Por ende, no resulta aceptable fraccionar lo convenido únicamente para acatar las estipulaciones que favorecen al tercero damnificado y desechar otras que ponen límites a la obligación del asegurador.</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Además, reiteraron que la obligación del asegurador de reparar el daño tiene naturaleza meramente "contractual", y si su finalidad es indemnizar al asegurado de los perjuicios sufridos por la producción del riesgo asegurado, su origen no es el daño sino el contrato de seguro. De tal manera la pretensión de que la aseguradora se haga cargo del pago de la indemnización más allá de las limitaciones cuantitativas establecidas en el contrato carece de fuente jurídica que la justifique y, por tanto, no puede ser el objeto de una obligación civil.</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 xml:space="preserve">El juez </w:t>
      </w:r>
      <w:proofErr w:type="spellStart"/>
      <w:r w:rsidRPr="00EC29DE">
        <w:rPr>
          <w:rFonts w:ascii="Arial" w:eastAsia="Times New Roman" w:hAnsi="Arial" w:cs="Arial"/>
          <w:color w:val="222222"/>
          <w:sz w:val="19"/>
          <w:szCs w:val="19"/>
          <w:lang w:eastAsia="es-AR"/>
        </w:rPr>
        <w:t>Rosenkrantz</w:t>
      </w:r>
      <w:proofErr w:type="spellEnd"/>
      <w:r w:rsidRPr="00EC29DE">
        <w:rPr>
          <w:rFonts w:ascii="Arial" w:eastAsia="Times New Roman" w:hAnsi="Arial" w:cs="Arial"/>
          <w:color w:val="222222"/>
          <w:sz w:val="19"/>
          <w:szCs w:val="19"/>
          <w:lang w:eastAsia="es-AR"/>
        </w:rPr>
        <w:t xml:space="preserve"> fundó la decisión en que la sentencia recurrida se apartó del contrato de seguro y de las disposiciones reglamentarias dictadas por la Superintendencia de Seguros de la Nación. Asimismo, indicó que la Cámara soslayó las normas del Código Civil de la Nación que establecen los efectos de los contratos en general y de la ley 17.418 que regulan el contrato de seguros en particular.</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Destacó que no se había demostrado en el caso que el límite de cobertura fijado por la Superintendencia de Seguros de la Nación, como autoridad en materia aseguradora, fuese irrazonable para la realización de los fines previstos por la ley 24.449: más precisamente proteger a las víctimas de los accidentes de tránsito y, a la vez, permitir un fácil acceso de la comunidad al seguro, en especial a los conductores de menores recursos. Precisó que la mayor contratación del seguro maximiza la probabilidad de compensación a las víctimas potenciales de los daños producidos por automotores.</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Señaló que la Corte Suprema ha decidido que el principio de compensación integral no es absoluto en tanto el legislador puede optar por distintos sistemas de reparación –inclusive la indemnización limitada o tasada-, siempre dentro del límite del art. 28 de la Constitución Nacional.</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El juez señaló que la determinación acerca de cuál es el modo de satisfacer en mayor extensión la finalidad social del seguro es ajena a los jueces. Ello depende de  consideraciones técnicas y de política legislativa, cuya evaluación incumbe al Poder Legislativo y al organismo responsable de supervisar el funcionamiento del mercado asegurador.</w:t>
      </w: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p>
    <w:p w:rsidR="00EC29DE" w:rsidRPr="00EC29DE" w:rsidRDefault="00EC29DE" w:rsidP="00EC29DE">
      <w:pPr>
        <w:shd w:val="clear" w:color="auto" w:fill="FFFFFF"/>
        <w:spacing w:after="0" w:line="240" w:lineRule="auto"/>
        <w:rPr>
          <w:rFonts w:ascii="Arial" w:eastAsia="Times New Roman" w:hAnsi="Arial" w:cs="Arial"/>
          <w:color w:val="222222"/>
          <w:sz w:val="19"/>
          <w:szCs w:val="19"/>
          <w:lang w:eastAsia="es-AR"/>
        </w:rPr>
      </w:pPr>
      <w:r w:rsidRPr="00EC29DE">
        <w:rPr>
          <w:rFonts w:ascii="Arial" w:eastAsia="Times New Roman" w:hAnsi="Arial" w:cs="Arial"/>
          <w:color w:val="222222"/>
          <w:sz w:val="19"/>
          <w:szCs w:val="19"/>
          <w:lang w:eastAsia="es-AR"/>
        </w:rPr>
        <w:t>Por último, sostuvo que la sentencia que obligó a la aseguradora a pagar más allá del límite de la póliza, con sustento en la supuesta desnaturalización de la función social del seguro, implica una violación de su derecho de propiedad. Ello, por cuanto la decisión avanza sobre los derechos que emergen del contrato sin justificación suficiente y, como consecuencia de ello, impone una obligación sin fuente legal.</w:t>
      </w:r>
    </w:p>
    <w:p w:rsidR="0043289A" w:rsidRDefault="0043289A">
      <w:bookmarkStart w:id="0" w:name="_GoBack"/>
      <w:bookmarkEnd w:id="0"/>
    </w:p>
    <w:sectPr w:rsidR="0043289A" w:rsidSect="00EC29D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DE"/>
    <w:rsid w:val="0043289A"/>
    <w:rsid w:val="00EC29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34281">
      <w:bodyDiv w:val="1"/>
      <w:marLeft w:val="0"/>
      <w:marRight w:val="0"/>
      <w:marTop w:val="0"/>
      <w:marBottom w:val="0"/>
      <w:divBdr>
        <w:top w:val="none" w:sz="0" w:space="0" w:color="auto"/>
        <w:left w:val="none" w:sz="0" w:space="0" w:color="auto"/>
        <w:bottom w:val="none" w:sz="0" w:space="0" w:color="auto"/>
        <w:right w:val="none" w:sz="0" w:space="0" w:color="auto"/>
      </w:divBdr>
      <w:divsChild>
        <w:div w:id="574897996">
          <w:marLeft w:val="0"/>
          <w:marRight w:val="0"/>
          <w:marTop w:val="0"/>
          <w:marBottom w:val="0"/>
          <w:divBdr>
            <w:top w:val="none" w:sz="0" w:space="0" w:color="auto"/>
            <w:left w:val="none" w:sz="0" w:space="0" w:color="auto"/>
            <w:bottom w:val="none" w:sz="0" w:space="0" w:color="auto"/>
            <w:right w:val="none" w:sz="0" w:space="0" w:color="auto"/>
          </w:divBdr>
        </w:div>
        <w:div w:id="1800604806">
          <w:marLeft w:val="0"/>
          <w:marRight w:val="0"/>
          <w:marTop w:val="0"/>
          <w:marBottom w:val="0"/>
          <w:divBdr>
            <w:top w:val="none" w:sz="0" w:space="0" w:color="auto"/>
            <w:left w:val="none" w:sz="0" w:space="0" w:color="auto"/>
            <w:bottom w:val="none" w:sz="0" w:space="0" w:color="auto"/>
            <w:right w:val="none" w:sz="0" w:space="0" w:color="auto"/>
          </w:divBdr>
        </w:div>
        <w:div w:id="2074813277">
          <w:marLeft w:val="0"/>
          <w:marRight w:val="0"/>
          <w:marTop w:val="0"/>
          <w:marBottom w:val="0"/>
          <w:divBdr>
            <w:top w:val="none" w:sz="0" w:space="0" w:color="auto"/>
            <w:left w:val="none" w:sz="0" w:space="0" w:color="auto"/>
            <w:bottom w:val="none" w:sz="0" w:space="0" w:color="auto"/>
            <w:right w:val="none" w:sz="0" w:space="0" w:color="auto"/>
          </w:divBdr>
        </w:div>
        <w:div w:id="835846985">
          <w:marLeft w:val="0"/>
          <w:marRight w:val="0"/>
          <w:marTop w:val="0"/>
          <w:marBottom w:val="0"/>
          <w:divBdr>
            <w:top w:val="none" w:sz="0" w:space="0" w:color="auto"/>
            <w:left w:val="none" w:sz="0" w:space="0" w:color="auto"/>
            <w:bottom w:val="none" w:sz="0" w:space="0" w:color="auto"/>
            <w:right w:val="none" w:sz="0" w:space="0" w:color="auto"/>
          </w:divBdr>
        </w:div>
        <w:div w:id="336353031">
          <w:marLeft w:val="0"/>
          <w:marRight w:val="0"/>
          <w:marTop w:val="0"/>
          <w:marBottom w:val="0"/>
          <w:divBdr>
            <w:top w:val="none" w:sz="0" w:space="0" w:color="auto"/>
            <w:left w:val="none" w:sz="0" w:space="0" w:color="auto"/>
            <w:bottom w:val="none" w:sz="0" w:space="0" w:color="auto"/>
            <w:right w:val="none" w:sz="0" w:space="0" w:color="auto"/>
          </w:divBdr>
        </w:div>
        <w:div w:id="1536194442">
          <w:marLeft w:val="0"/>
          <w:marRight w:val="0"/>
          <w:marTop w:val="0"/>
          <w:marBottom w:val="0"/>
          <w:divBdr>
            <w:top w:val="none" w:sz="0" w:space="0" w:color="auto"/>
            <w:left w:val="none" w:sz="0" w:space="0" w:color="auto"/>
            <w:bottom w:val="none" w:sz="0" w:space="0" w:color="auto"/>
            <w:right w:val="none" w:sz="0" w:space="0" w:color="auto"/>
          </w:divBdr>
        </w:div>
        <w:div w:id="458494206">
          <w:marLeft w:val="0"/>
          <w:marRight w:val="0"/>
          <w:marTop w:val="0"/>
          <w:marBottom w:val="0"/>
          <w:divBdr>
            <w:top w:val="none" w:sz="0" w:space="0" w:color="auto"/>
            <w:left w:val="none" w:sz="0" w:space="0" w:color="auto"/>
            <w:bottom w:val="none" w:sz="0" w:space="0" w:color="auto"/>
            <w:right w:val="none" w:sz="0" w:space="0" w:color="auto"/>
          </w:divBdr>
        </w:div>
        <w:div w:id="1571306677">
          <w:marLeft w:val="0"/>
          <w:marRight w:val="0"/>
          <w:marTop w:val="0"/>
          <w:marBottom w:val="0"/>
          <w:divBdr>
            <w:top w:val="none" w:sz="0" w:space="0" w:color="auto"/>
            <w:left w:val="none" w:sz="0" w:space="0" w:color="auto"/>
            <w:bottom w:val="none" w:sz="0" w:space="0" w:color="auto"/>
            <w:right w:val="none" w:sz="0" w:space="0" w:color="auto"/>
          </w:divBdr>
        </w:div>
        <w:div w:id="248976077">
          <w:marLeft w:val="0"/>
          <w:marRight w:val="0"/>
          <w:marTop w:val="0"/>
          <w:marBottom w:val="0"/>
          <w:divBdr>
            <w:top w:val="none" w:sz="0" w:space="0" w:color="auto"/>
            <w:left w:val="none" w:sz="0" w:space="0" w:color="auto"/>
            <w:bottom w:val="none" w:sz="0" w:space="0" w:color="auto"/>
            <w:right w:val="none" w:sz="0" w:space="0" w:color="auto"/>
          </w:divBdr>
        </w:div>
        <w:div w:id="1402941829">
          <w:marLeft w:val="0"/>
          <w:marRight w:val="0"/>
          <w:marTop w:val="0"/>
          <w:marBottom w:val="0"/>
          <w:divBdr>
            <w:top w:val="none" w:sz="0" w:space="0" w:color="auto"/>
            <w:left w:val="none" w:sz="0" w:space="0" w:color="auto"/>
            <w:bottom w:val="none" w:sz="0" w:space="0" w:color="auto"/>
            <w:right w:val="none" w:sz="0" w:space="0" w:color="auto"/>
          </w:divBdr>
        </w:div>
        <w:div w:id="1377781376">
          <w:marLeft w:val="0"/>
          <w:marRight w:val="0"/>
          <w:marTop w:val="0"/>
          <w:marBottom w:val="0"/>
          <w:divBdr>
            <w:top w:val="none" w:sz="0" w:space="0" w:color="auto"/>
            <w:left w:val="none" w:sz="0" w:space="0" w:color="auto"/>
            <w:bottom w:val="none" w:sz="0" w:space="0" w:color="auto"/>
            <w:right w:val="none" w:sz="0" w:space="0" w:color="auto"/>
          </w:divBdr>
        </w:div>
        <w:div w:id="891380868">
          <w:marLeft w:val="0"/>
          <w:marRight w:val="0"/>
          <w:marTop w:val="0"/>
          <w:marBottom w:val="0"/>
          <w:divBdr>
            <w:top w:val="none" w:sz="0" w:space="0" w:color="auto"/>
            <w:left w:val="none" w:sz="0" w:space="0" w:color="auto"/>
            <w:bottom w:val="none" w:sz="0" w:space="0" w:color="auto"/>
            <w:right w:val="none" w:sz="0" w:space="0" w:color="auto"/>
          </w:divBdr>
        </w:div>
        <w:div w:id="1143934861">
          <w:marLeft w:val="0"/>
          <w:marRight w:val="0"/>
          <w:marTop w:val="0"/>
          <w:marBottom w:val="0"/>
          <w:divBdr>
            <w:top w:val="none" w:sz="0" w:space="0" w:color="auto"/>
            <w:left w:val="none" w:sz="0" w:space="0" w:color="auto"/>
            <w:bottom w:val="none" w:sz="0" w:space="0" w:color="auto"/>
            <w:right w:val="none" w:sz="0" w:space="0" w:color="auto"/>
          </w:divBdr>
        </w:div>
        <w:div w:id="842009434">
          <w:marLeft w:val="0"/>
          <w:marRight w:val="0"/>
          <w:marTop w:val="0"/>
          <w:marBottom w:val="0"/>
          <w:divBdr>
            <w:top w:val="none" w:sz="0" w:space="0" w:color="auto"/>
            <w:left w:val="none" w:sz="0" w:space="0" w:color="auto"/>
            <w:bottom w:val="none" w:sz="0" w:space="0" w:color="auto"/>
            <w:right w:val="none" w:sz="0" w:space="0" w:color="auto"/>
          </w:divBdr>
        </w:div>
        <w:div w:id="2018537722">
          <w:marLeft w:val="0"/>
          <w:marRight w:val="0"/>
          <w:marTop w:val="0"/>
          <w:marBottom w:val="0"/>
          <w:divBdr>
            <w:top w:val="none" w:sz="0" w:space="0" w:color="auto"/>
            <w:left w:val="none" w:sz="0" w:space="0" w:color="auto"/>
            <w:bottom w:val="none" w:sz="0" w:space="0" w:color="auto"/>
            <w:right w:val="none" w:sz="0" w:space="0" w:color="auto"/>
          </w:divBdr>
        </w:div>
        <w:div w:id="1619333855">
          <w:marLeft w:val="0"/>
          <w:marRight w:val="0"/>
          <w:marTop w:val="0"/>
          <w:marBottom w:val="0"/>
          <w:divBdr>
            <w:top w:val="none" w:sz="0" w:space="0" w:color="auto"/>
            <w:left w:val="none" w:sz="0" w:space="0" w:color="auto"/>
            <w:bottom w:val="none" w:sz="0" w:space="0" w:color="auto"/>
            <w:right w:val="none" w:sz="0" w:space="0" w:color="auto"/>
          </w:divBdr>
        </w:div>
        <w:div w:id="325209838">
          <w:marLeft w:val="0"/>
          <w:marRight w:val="0"/>
          <w:marTop w:val="0"/>
          <w:marBottom w:val="0"/>
          <w:divBdr>
            <w:top w:val="none" w:sz="0" w:space="0" w:color="auto"/>
            <w:left w:val="none" w:sz="0" w:space="0" w:color="auto"/>
            <w:bottom w:val="none" w:sz="0" w:space="0" w:color="auto"/>
            <w:right w:val="none" w:sz="0" w:space="0" w:color="auto"/>
          </w:divBdr>
        </w:div>
        <w:div w:id="348719809">
          <w:marLeft w:val="0"/>
          <w:marRight w:val="0"/>
          <w:marTop w:val="0"/>
          <w:marBottom w:val="0"/>
          <w:divBdr>
            <w:top w:val="none" w:sz="0" w:space="0" w:color="auto"/>
            <w:left w:val="none" w:sz="0" w:space="0" w:color="auto"/>
            <w:bottom w:val="none" w:sz="0" w:space="0" w:color="auto"/>
            <w:right w:val="none" w:sz="0" w:space="0" w:color="auto"/>
          </w:divBdr>
        </w:div>
        <w:div w:id="421069676">
          <w:marLeft w:val="0"/>
          <w:marRight w:val="0"/>
          <w:marTop w:val="0"/>
          <w:marBottom w:val="0"/>
          <w:divBdr>
            <w:top w:val="none" w:sz="0" w:space="0" w:color="auto"/>
            <w:left w:val="none" w:sz="0" w:space="0" w:color="auto"/>
            <w:bottom w:val="none" w:sz="0" w:space="0" w:color="auto"/>
            <w:right w:val="none" w:sz="0" w:space="0" w:color="auto"/>
          </w:divBdr>
        </w:div>
        <w:div w:id="1531605835">
          <w:marLeft w:val="0"/>
          <w:marRight w:val="0"/>
          <w:marTop w:val="0"/>
          <w:marBottom w:val="0"/>
          <w:divBdr>
            <w:top w:val="none" w:sz="0" w:space="0" w:color="auto"/>
            <w:left w:val="none" w:sz="0" w:space="0" w:color="auto"/>
            <w:bottom w:val="none" w:sz="0" w:space="0" w:color="auto"/>
            <w:right w:val="none" w:sz="0" w:space="0" w:color="auto"/>
          </w:divBdr>
        </w:div>
        <w:div w:id="927231288">
          <w:marLeft w:val="0"/>
          <w:marRight w:val="0"/>
          <w:marTop w:val="0"/>
          <w:marBottom w:val="0"/>
          <w:divBdr>
            <w:top w:val="none" w:sz="0" w:space="0" w:color="auto"/>
            <w:left w:val="none" w:sz="0" w:space="0" w:color="auto"/>
            <w:bottom w:val="none" w:sz="0" w:space="0" w:color="auto"/>
            <w:right w:val="none" w:sz="0" w:space="0" w:color="auto"/>
          </w:divBdr>
        </w:div>
        <w:div w:id="924458063">
          <w:marLeft w:val="0"/>
          <w:marRight w:val="0"/>
          <w:marTop w:val="0"/>
          <w:marBottom w:val="0"/>
          <w:divBdr>
            <w:top w:val="none" w:sz="0" w:space="0" w:color="auto"/>
            <w:left w:val="none" w:sz="0" w:space="0" w:color="auto"/>
            <w:bottom w:val="none" w:sz="0" w:space="0" w:color="auto"/>
            <w:right w:val="none" w:sz="0" w:space="0" w:color="auto"/>
          </w:divBdr>
        </w:div>
        <w:div w:id="636183899">
          <w:marLeft w:val="0"/>
          <w:marRight w:val="0"/>
          <w:marTop w:val="0"/>
          <w:marBottom w:val="0"/>
          <w:divBdr>
            <w:top w:val="none" w:sz="0" w:space="0" w:color="auto"/>
            <w:left w:val="none" w:sz="0" w:space="0" w:color="auto"/>
            <w:bottom w:val="none" w:sz="0" w:space="0" w:color="auto"/>
            <w:right w:val="none" w:sz="0" w:space="0" w:color="auto"/>
          </w:divBdr>
        </w:div>
        <w:div w:id="138112537">
          <w:marLeft w:val="0"/>
          <w:marRight w:val="0"/>
          <w:marTop w:val="0"/>
          <w:marBottom w:val="0"/>
          <w:divBdr>
            <w:top w:val="none" w:sz="0" w:space="0" w:color="auto"/>
            <w:left w:val="none" w:sz="0" w:space="0" w:color="auto"/>
            <w:bottom w:val="none" w:sz="0" w:space="0" w:color="auto"/>
            <w:right w:val="none" w:sz="0" w:space="0" w:color="auto"/>
          </w:divBdr>
        </w:div>
        <w:div w:id="1492065587">
          <w:marLeft w:val="0"/>
          <w:marRight w:val="0"/>
          <w:marTop w:val="0"/>
          <w:marBottom w:val="0"/>
          <w:divBdr>
            <w:top w:val="none" w:sz="0" w:space="0" w:color="auto"/>
            <w:left w:val="none" w:sz="0" w:space="0" w:color="auto"/>
            <w:bottom w:val="none" w:sz="0" w:space="0" w:color="auto"/>
            <w:right w:val="none" w:sz="0" w:space="0" w:color="auto"/>
          </w:divBdr>
        </w:div>
        <w:div w:id="890724840">
          <w:marLeft w:val="0"/>
          <w:marRight w:val="0"/>
          <w:marTop w:val="0"/>
          <w:marBottom w:val="0"/>
          <w:divBdr>
            <w:top w:val="none" w:sz="0" w:space="0" w:color="auto"/>
            <w:left w:val="none" w:sz="0" w:space="0" w:color="auto"/>
            <w:bottom w:val="none" w:sz="0" w:space="0" w:color="auto"/>
            <w:right w:val="none" w:sz="0" w:space="0" w:color="auto"/>
          </w:divBdr>
        </w:div>
        <w:div w:id="70132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2017-06-07T14:21:00Z</dcterms:created>
  <dcterms:modified xsi:type="dcterms:W3CDTF">2017-06-07T14:26:00Z</dcterms:modified>
</cp:coreProperties>
</file>